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AA75" w14:textId="77777777" w:rsidR="00F2221B" w:rsidRPr="00F2221B" w:rsidRDefault="00F2221B" w:rsidP="00F2221B">
      <w:pPr>
        <w:rPr>
          <w:b/>
          <w:bCs/>
        </w:rPr>
      </w:pPr>
      <w:r w:rsidRPr="00F2221B">
        <w:rPr>
          <w:b/>
          <w:bCs/>
        </w:rPr>
        <w:t>1. Os dados do Serasa são comparáveis com os do Monitor RGF?</w:t>
      </w:r>
    </w:p>
    <w:p w14:paraId="683621DE" w14:textId="77777777" w:rsidR="00F2221B" w:rsidRPr="00F2221B" w:rsidRDefault="00F2221B" w:rsidP="00F2221B">
      <w:r w:rsidRPr="00F2221B">
        <w:rPr>
          <w:b/>
          <w:bCs/>
        </w:rPr>
        <w:t>Tecnicamente, não.</w:t>
      </w:r>
      <w:r w:rsidRPr="00F2221B">
        <w:br/>
        <w:t xml:space="preserve">Os dados do Serasa </w:t>
      </w:r>
      <w:r w:rsidRPr="00F2221B">
        <w:rPr>
          <w:b/>
          <w:bCs/>
        </w:rPr>
        <w:t>não são diretamente comparáveis</w:t>
      </w:r>
      <w:r w:rsidRPr="00F2221B">
        <w:t xml:space="preserve"> aos do Monitor RGF porque partem de </w:t>
      </w:r>
      <w:r w:rsidRPr="00F2221B">
        <w:rPr>
          <w:b/>
          <w:bCs/>
        </w:rPr>
        <w:t>universos estatísticos, critérios de inclusão e objetivos analíticos distintos</w:t>
      </w:r>
      <w:r w:rsidRPr="00F2221B">
        <w:t>.</w:t>
      </w:r>
    </w:p>
    <w:p w14:paraId="7FBE39E8" w14:textId="18571EB2" w:rsidR="00F2221B" w:rsidRPr="00F2221B" w:rsidRDefault="00F2221B" w:rsidP="00F2221B">
      <w:r w:rsidRPr="00F2221B">
        <w:t xml:space="preserve">O </w:t>
      </w:r>
      <w:r w:rsidRPr="00F2221B">
        <w:rPr>
          <w:b/>
          <w:bCs/>
        </w:rPr>
        <w:t>Monitor RGF</w:t>
      </w:r>
      <w:r w:rsidRPr="00F2221B">
        <w:t xml:space="preserve"> considera </w:t>
      </w:r>
      <w:r w:rsidRPr="00F2221B">
        <w:rPr>
          <w:b/>
          <w:bCs/>
        </w:rPr>
        <w:t>exclusivamente empresas cujo pedido de recuperação judicial já foi deferido pelo Poder Judiciário</w:t>
      </w:r>
      <w:r w:rsidRPr="00F2221B">
        <w:t xml:space="preserve">, ou seja, companhias que </w:t>
      </w:r>
      <w:r w:rsidRPr="00F2221B">
        <w:rPr>
          <w:b/>
          <w:bCs/>
        </w:rPr>
        <w:t>efetivamente ingressaram em RJ</w:t>
      </w:r>
      <w:r w:rsidRPr="00F2221B">
        <w:t>. Esse é um ponto central da metodologia</w:t>
      </w:r>
      <w:r>
        <w:t>.</w:t>
      </w:r>
    </w:p>
    <w:p w14:paraId="196B9F5E" w14:textId="77777777" w:rsidR="00F2221B" w:rsidRPr="00F2221B" w:rsidRDefault="00F2221B" w:rsidP="00F2221B">
      <w:r w:rsidRPr="00F2221B">
        <w:t>Além disso, o Monitor:</w:t>
      </w:r>
    </w:p>
    <w:p w14:paraId="50CD9A8F" w14:textId="77777777" w:rsidR="00F2221B" w:rsidRPr="00F2221B" w:rsidRDefault="00F2221B" w:rsidP="00F2221B">
      <w:pPr>
        <w:numPr>
          <w:ilvl w:val="0"/>
          <w:numId w:val="1"/>
        </w:numPr>
      </w:pPr>
      <w:r w:rsidRPr="00F2221B">
        <w:t xml:space="preserve">Usa como base primária os </w:t>
      </w:r>
      <w:r w:rsidRPr="00F2221B">
        <w:rPr>
          <w:b/>
          <w:bCs/>
        </w:rPr>
        <w:t>dados cadastrais da Receita Federal do Brasil (RFB)</w:t>
      </w:r>
      <w:r w:rsidRPr="00F2221B">
        <w:t>;</w:t>
      </w:r>
    </w:p>
    <w:p w14:paraId="7AAF4FBD" w14:textId="77777777" w:rsidR="00F2221B" w:rsidRPr="00F2221B" w:rsidRDefault="00F2221B" w:rsidP="00F2221B">
      <w:pPr>
        <w:numPr>
          <w:ilvl w:val="0"/>
          <w:numId w:val="1"/>
        </w:numPr>
      </w:pPr>
      <w:r w:rsidRPr="00F2221B">
        <w:t xml:space="preserve">Exclui </w:t>
      </w:r>
      <w:proofErr w:type="spellStart"/>
      <w:r w:rsidRPr="00F2221B">
        <w:rPr>
          <w:b/>
          <w:bCs/>
        </w:rPr>
        <w:t>CNPJs</w:t>
      </w:r>
      <w:proofErr w:type="spellEnd"/>
      <w:r w:rsidRPr="00F2221B">
        <w:rPr>
          <w:b/>
          <w:bCs/>
        </w:rPr>
        <w:t xml:space="preserve"> inativos, microempresas, ONGs, entes governamentais e filiais</w:t>
      </w:r>
      <w:r w:rsidRPr="00F2221B">
        <w:t xml:space="preserve">, tratando a empresa como </w:t>
      </w:r>
      <w:r w:rsidRPr="00F2221B">
        <w:rPr>
          <w:b/>
          <w:bCs/>
        </w:rPr>
        <w:t>unidade jurídica central</w:t>
      </w:r>
      <w:r w:rsidRPr="00F2221B">
        <w:t>;</w:t>
      </w:r>
    </w:p>
    <w:p w14:paraId="3293062A" w14:textId="0A1C23A8" w:rsidR="00F2221B" w:rsidRPr="00F2221B" w:rsidRDefault="00F2221B" w:rsidP="00F2221B">
      <w:pPr>
        <w:numPr>
          <w:ilvl w:val="0"/>
          <w:numId w:val="1"/>
        </w:numPr>
      </w:pPr>
      <w:r w:rsidRPr="00F2221B">
        <w:t xml:space="preserve">Trabalha com </w:t>
      </w:r>
      <w:r w:rsidRPr="00F2221B">
        <w:rPr>
          <w:b/>
          <w:bCs/>
        </w:rPr>
        <w:t>recortes econômicos estruturais</w:t>
      </w:r>
      <w:r w:rsidRPr="00F2221B">
        <w:t xml:space="preserve"> (pilares e setores via CNAE), buscando consistência analítica e comparabilidade interna ao longo do tempo</w:t>
      </w:r>
      <w:r w:rsidR="00EA1ADB">
        <w:t>.</w:t>
      </w:r>
    </w:p>
    <w:p w14:paraId="11A7B0CF" w14:textId="6A19C782" w:rsidR="00F2221B" w:rsidRPr="00F2221B" w:rsidRDefault="00F2221B" w:rsidP="00F2221B">
      <w:r w:rsidRPr="00F2221B">
        <w:t xml:space="preserve">Em termos técnicos: </w:t>
      </w:r>
      <w:r w:rsidRPr="00F2221B">
        <w:rPr>
          <w:b/>
          <w:bCs/>
        </w:rPr>
        <w:t>são indicadores que observam fenômenos correlatos, mas não equivalentes</w:t>
      </w:r>
      <w:r w:rsidRPr="00F2221B">
        <w:t>.</w:t>
      </w:r>
    </w:p>
    <w:p w14:paraId="69369D0F" w14:textId="77777777" w:rsidR="00F2221B" w:rsidRPr="00F2221B" w:rsidRDefault="00F2221B" w:rsidP="00F2221B">
      <w:r w:rsidRPr="00F2221B">
        <w:pict w14:anchorId="5B38C1C5">
          <v:rect id="_x0000_i1037" style="width:0;height:1.5pt" o:hralign="center" o:hrstd="t" o:hr="t" fillcolor="#a0a0a0" stroked="f"/>
        </w:pict>
      </w:r>
    </w:p>
    <w:p w14:paraId="6F343A90" w14:textId="77777777" w:rsidR="00F2221B" w:rsidRPr="00F2221B" w:rsidRDefault="00F2221B" w:rsidP="00F2221B">
      <w:pPr>
        <w:rPr>
          <w:b/>
          <w:bCs/>
        </w:rPr>
      </w:pPr>
      <w:r w:rsidRPr="00F2221B">
        <w:rPr>
          <w:b/>
          <w:bCs/>
        </w:rPr>
        <w:t>2. É correto fazer essa comparação direta? Não seria mais justo usar números relativos?</w:t>
      </w:r>
    </w:p>
    <w:p w14:paraId="41B798A7" w14:textId="77777777" w:rsidR="00F2221B" w:rsidRPr="00F2221B" w:rsidRDefault="00F2221B" w:rsidP="00F2221B">
      <w:r w:rsidRPr="00F2221B">
        <w:t xml:space="preserve">Do ponto de vista estatístico e metodológico, </w:t>
      </w:r>
      <w:r w:rsidRPr="00F2221B">
        <w:rPr>
          <w:b/>
          <w:bCs/>
        </w:rPr>
        <w:t>a comparação direta em números absolutos é inadequada</w:t>
      </w:r>
      <w:r w:rsidRPr="00F2221B">
        <w:t>.</w:t>
      </w:r>
    </w:p>
    <w:p w14:paraId="3B681FB3" w14:textId="77777777" w:rsidR="00F2221B" w:rsidRPr="00F2221B" w:rsidRDefault="00F2221B" w:rsidP="00F2221B">
      <w:r w:rsidRPr="00F2221B">
        <w:t>Comparações robustas exigem:</w:t>
      </w:r>
    </w:p>
    <w:p w14:paraId="2494F87C" w14:textId="77777777" w:rsidR="00F2221B" w:rsidRPr="00F2221B" w:rsidRDefault="00F2221B" w:rsidP="00F2221B">
      <w:pPr>
        <w:numPr>
          <w:ilvl w:val="0"/>
          <w:numId w:val="2"/>
        </w:numPr>
      </w:pPr>
      <w:r w:rsidRPr="00F2221B">
        <w:rPr>
          <w:b/>
          <w:bCs/>
        </w:rPr>
        <w:t>Universo comum</w:t>
      </w:r>
      <w:r w:rsidRPr="00F2221B">
        <w:t>;</w:t>
      </w:r>
    </w:p>
    <w:p w14:paraId="020D7A74" w14:textId="77777777" w:rsidR="00F2221B" w:rsidRPr="00F2221B" w:rsidRDefault="00F2221B" w:rsidP="00F2221B">
      <w:pPr>
        <w:numPr>
          <w:ilvl w:val="0"/>
          <w:numId w:val="2"/>
        </w:numPr>
      </w:pPr>
      <w:r w:rsidRPr="00F2221B">
        <w:rPr>
          <w:b/>
          <w:bCs/>
        </w:rPr>
        <w:t>Critérios homogêneos de inclusão/exclusão</w:t>
      </w:r>
      <w:r w:rsidRPr="00F2221B">
        <w:t>;</w:t>
      </w:r>
    </w:p>
    <w:p w14:paraId="5A1F599A" w14:textId="77777777" w:rsidR="00F2221B" w:rsidRPr="00F2221B" w:rsidRDefault="00F2221B" w:rsidP="00F2221B">
      <w:pPr>
        <w:numPr>
          <w:ilvl w:val="0"/>
          <w:numId w:val="2"/>
        </w:numPr>
      </w:pPr>
      <w:r w:rsidRPr="00F2221B">
        <w:rPr>
          <w:b/>
          <w:bCs/>
        </w:rPr>
        <w:t>Mesma definição do evento observado</w:t>
      </w:r>
      <w:r w:rsidRPr="00F2221B">
        <w:t>.</w:t>
      </w:r>
    </w:p>
    <w:p w14:paraId="7FBD6241" w14:textId="77777777" w:rsidR="00F2221B" w:rsidRPr="00F2221B" w:rsidRDefault="00F2221B" w:rsidP="00F2221B">
      <w:r w:rsidRPr="00F2221B">
        <w:t xml:space="preserve">Quando isso não ocorre — como é o caso — o uso de números absolutos tende a gerar </w:t>
      </w:r>
      <w:r w:rsidRPr="00F2221B">
        <w:rPr>
          <w:b/>
          <w:bCs/>
        </w:rPr>
        <w:t>ruído analítico</w:t>
      </w:r>
      <w:r w:rsidRPr="00F2221B">
        <w:t>.</w:t>
      </w:r>
    </w:p>
    <w:p w14:paraId="0BAB9425" w14:textId="5D72F41D" w:rsidR="00F2221B" w:rsidRPr="00F2221B" w:rsidRDefault="00F2221B" w:rsidP="00F2221B">
      <w:r w:rsidRPr="00F2221B">
        <w:t xml:space="preserve">É justamente por isso que o Monitor RGF se propõe a ser um </w:t>
      </w:r>
      <w:r w:rsidRPr="00F2221B">
        <w:rPr>
          <w:b/>
          <w:bCs/>
        </w:rPr>
        <w:t>índice estruturado</w:t>
      </w:r>
      <w:r w:rsidR="00EA1ADB">
        <w:rPr>
          <w:b/>
          <w:bCs/>
        </w:rPr>
        <w:t>, o IRG-RGF que indica a quantidade de empresas em recuperação judicial a cad</w:t>
      </w:r>
      <w:r w:rsidR="005A3DC5">
        <w:rPr>
          <w:b/>
          <w:bCs/>
        </w:rPr>
        <w:t xml:space="preserve">a </w:t>
      </w:r>
      <w:r w:rsidR="00EA1ADB">
        <w:rPr>
          <w:b/>
          <w:bCs/>
        </w:rPr>
        <w:t xml:space="preserve">mil empresas, considerando matrizes, excluindo </w:t>
      </w:r>
      <w:proofErr w:type="gramStart"/>
      <w:r w:rsidR="00EA1ADB">
        <w:rPr>
          <w:b/>
          <w:bCs/>
        </w:rPr>
        <w:t>micro empresas</w:t>
      </w:r>
      <w:proofErr w:type="gramEnd"/>
      <w:r w:rsidR="00E7546D">
        <w:rPr>
          <w:b/>
          <w:bCs/>
        </w:rPr>
        <w:t>,</w:t>
      </w:r>
      <w:r w:rsidR="00EA1ADB">
        <w:rPr>
          <w:b/>
          <w:bCs/>
        </w:rPr>
        <w:t xml:space="preserve"> fil</w:t>
      </w:r>
      <w:r w:rsidR="00E7546D">
        <w:rPr>
          <w:b/>
          <w:bCs/>
        </w:rPr>
        <w:t xml:space="preserve">iais e </w:t>
      </w:r>
      <w:r w:rsidR="00E7546D">
        <w:rPr>
          <w:b/>
          <w:bCs/>
        </w:rPr>
        <w:lastRenderedPageBreak/>
        <w:t xml:space="preserve">naturezas jurídicas </w:t>
      </w:r>
      <w:proofErr w:type="gramStart"/>
      <w:r w:rsidR="00E7546D">
        <w:rPr>
          <w:b/>
          <w:bCs/>
        </w:rPr>
        <w:t xml:space="preserve">diferentes </w:t>
      </w:r>
      <w:r w:rsidR="005A3DC5">
        <w:rPr>
          <w:b/>
          <w:bCs/>
        </w:rPr>
        <w:t xml:space="preserve"> </w:t>
      </w:r>
      <w:r w:rsidR="00E7546D">
        <w:rPr>
          <w:b/>
          <w:bCs/>
        </w:rPr>
        <w:t>“</w:t>
      </w:r>
      <w:proofErr w:type="gramEnd"/>
      <w:r w:rsidR="00E7546D">
        <w:rPr>
          <w:b/>
          <w:bCs/>
        </w:rPr>
        <w:t>entidade empresariais</w:t>
      </w:r>
      <w:r w:rsidR="005A3DC5">
        <w:rPr>
          <w:b/>
          <w:bCs/>
        </w:rPr>
        <w:t xml:space="preserve">” e sendo assim conseguimos ter: </w:t>
      </w:r>
      <w:r w:rsidR="00E7546D">
        <w:rPr>
          <w:b/>
          <w:bCs/>
        </w:rPr>
        <w:t xml:space="preserve"> </w:t>
      </w:r>
    </w:p>
    <w:p w14:paraId="505F02FE" w14:textId="1E0BF552" w:rsidR="00F2221B" w:rsidRPr="00F2221B" w:rsidRDefault="00F2221B" w:rsidP="00F2221B">
      <w:pPr>
        <w:numPr>
          <w:ilvl w:val="0"/>
          <w:numId w:val="3"/>
        </w:numPr>
      </w:pPr>
      <w:r w:rsidRPr="00F2221B">
        <w:t>Base padronizada (R</w:t>
      </w:r>
      <w:r w:rsidR="00E7546D">
        <w:t>eceita Federal do Brasil</w:t>
      </w:r>
      <w:r w:rsidR="005A3DC5">
        <w:t>)</w:t>
      </w:r>
      <w:r w:rsidRPr="00F2221B">
        <w:t>;</w:t>
      </w:r>
    </w:p>
    <w:p w14:paraId="6802A2E9" w14:textId="77777777" w:rsidR="00F2221B" w:rsidRPr="00F2221B" w:rsidRDefault="00F2221B" w:rsidP="00F2221B">
      <w:pPr>
        <w:numPr>
          <w:ilvl w:val="0"/>
          <w:numId w:val="3"/>
        </w:numPr>
      </w:pPr>
      <w:r w:rsidRPr="00F2221B">
        <w:t>Universo controlado;</w:t>
      </w:r>
    </w:p>
    <w:p w14:paraId="4830C047" w14:textId="77777777" w:rsidR="00F2221B" w:rsidRPr="00F2221B" w:rsidRDefault="00F2221B" w:rsidP="00F2221B">
      <w:pPr>
        <w:numPr>
          <w:ilvl w:val="0"/>
          <w:numId w:val="3"/>
        </w:numPr>
      </w:pPr>
      <w:r w:rsidRPr="00F2221B">
        <w:t>Atualizações trimestrais;</w:t>
      </w:r>
    </w:p>
    <w:p w14:paraId="114D3265" w14:textId="77777777" w:rsidR="00F2221B" w:rsidRPr="00F2221B" w:rsidRDefault="00F2221B" w:rsidP="00F2221B">
      <w:pPr>
        <w:numPr>
          <w:ilvl w:val="0"/>
          <w:numId w:val="3"/>
        </w:numPr>
      </w:pPr>
      <w:r w:rsidRPr="00F2221B">
        <w:t xml:space="preserve">Comparabilidade </w:t>
      </w:r>
      <w:r w:rsidRPr="00F2221B">
        <w:rPr>
          <w:b/>
          <w:bCs/>
        </w:rPr>
        <w:t>interna</w:t>
      </w:r>
      <w:r w:rsidRPr="00F2221B">
        <w:t xml:space="preserve"> consistente ao longo do tempo </w:t>
      </w:r>
    </w:p>
    <w:p w14:paraId="7AA50159" w14:textId="0EA4EB40" w:rsidR="00F2221B" w:rsidRPr="00F2221B" w:rsidRDefault="00E7546D" w:rsidP="00F2221B">
      <w:r>
        <w:t>M</w:t>
      </w:r>
      <w:r w:rsidR="00F2221B" w:rsidRPr="00F2221B">
        <w:t>esmo assim, vale destacar:</w:t>
      </w:r>
      <w:r w:rsidR="00F2221B" w:rsidRPr="00F2221B">
        <w:br/>
      </w:r>
      <w:r w:rsidR="00F2221B" w:rsidRPr="00F2221B">
        <w:rPr>
          <w:b/>
          <w:bCs/>
        </w:rPr>
        <w:t>Índices relativos só são comparáveis quando calculados a partir do mesmo universo de empresas</w:t>
      </w:r>
      <w:r w:rsidR="00F2221B" w:rsidRPr="00F2221B">
        <w:t>, o que novamente não ocorre entre Monitor RGF e Serasa.</w:t>
      </w:r>
    </w:p>
    <w:p w14:paraId="27319CC2" w14:textId="77777777" w:rsidR="00F2221B" w:rsidRPr="00F2221B" w:rsidRDefault="00F2221B" w:rsidP="00F2221B">
      <w:r w:rsidRPr="00F2221B">
        <w:pict w14:anchorId="2B6E9429">
          <v:rect id="_x0000_i1038" style="width:0;height:1.5pt" o:hralign="center" o:hrstd="t" o:hr="t" fillcolor="#a0a0a0" stroked="f"/>
        </w:pict>
      </w:r>
    </w:p>
    <w:p w14:paraId="355787D5" w14:textId="77777777" w:rsidR="00F2221B" w:rsidRPr="00F2221B" w:rsidRDefault="00F2221B" w:rsidP="00F2221B">
      <w:pPr>
        <w:rPr>
          <w:b/>
          <w:bCs/>
        </w:rPr>
      </w:pPr>
      <w:r w:rsidRPr="00F2221B">
        <w:rPr>
          <w:b/>
          <w:bCs/>
        </w:rPr>
        <w:t>3. O Monitor RGF não tem índice antes de 2023. É possível comparar governos?</w:t>
      </w:r>
    </w:p>
    <w:p w14:paraId="57FAF186" w14:textId="67E1A3CE" w:rsidR="00F2221B" w:rsidRPr="00F2221B" w:rsidRDefault="00F2221B" w:rsidP="00F2221B">
      <w:r w:rsidRPr="00F2221B">
        <w:rPr>
          <w:b/>
          <w:bCs/>
        </w:rPr>
        <w:t>Não, não é metodologicamente correto fazer comparações entre governos a partir do Monitor RGF.</w:t>
      </w:r>
      <w:r w:rsidRPr="00F2221B">
        <w:t xml:space="preserve">O Monitor RGF foi estruturado com uma base consistente </w:t>
      </w:r>
      <w:r w:rsidRPr="00F2221B">
        <w:rPr>
          <w:b/>
          <w:bCs/>
        </w:rPr>
        <w:t>a partir de 2023</w:t>
      </w:r>
      <w:r w:rsidRPr="00F2221B">
        <w:t xml:space="preserve">, e </w:t>
      </w:r>
      <w:r w:rsidRPr="00F2221B">
        <w:rPr>
          <w:b/>
          <w:bCs/>
        </w:rPr>
        <w:t>não há série histórica anterior construída sob os mesmos critérios</w:t>
      </w:r>
      <w:r w:rsidRPr="00F2221B">
        <w:t xml:space="preserve"> </w:t>
      </w:r>
    </w:p>
    <w:p w14:paraId="61C25E77" w14:textId="77777777" w:rsidR="00F2221B" w:rsidRPr="00F2221B" w:rsidRDefault="00F2221B" w:rsidP="00F2221B">
      <w:r w:rsidRPr="00F2221B">
        <w:t>Em estatística aplicada, isso é um ponto sensível:</w:t>
      </w:r>
    </w:p>
    <w:p w14:paraId="78AEE660" w14:textId="77777777" w:rsidR="00F2221B" w:rsidRPr="00F2221B" w:rsidRDefault="00F2221B" w:rsidP="00F2221B">
      <w:pPr>
        <w:numPr>
          <w:ilvl w:val="0"/>
          <w:numId w:val="4"/>
        </w:numPr>
      </w:pPr>
      <w:r w:rsidRPr="00F2221B">
        <w:t xml:space="preserve">Comparações intertemporais </w:t>
      </w:r>
      <w:r w:rsidRPr="00F2221B">
        <w:rPr>
          <w:b/>
          <w:bCs/>
        </w:rPr>
        <w:t>exigem séries longas e metodologicamente estáveis</w:t>
      </w:r>
      <w:r w:rsidRPr="00F2221B">
        <w:t>;</w:t>
      </w:r>
    </w:p>
    <w:p w14:paraId="68C8E756" w14:textId="77777777" w:rsidR="00F2221B" w:rsidRPr="00F2221B" w:rsidRDefault="00F2221B" w:rsidP="00F2221B">
      <w:pPr>
        <w:numPr>
          <w:ilvl w:val="0"/>
          <w:numId w:val="4"/>
        </w:numPr>
      </w:pPr>
      <w:r w:rsidRPr="00F2221B">
        <w:t>Mudanças de base, critério ou cobertura inviabilizam inferências causais entre períodos políticos distintos.</w:t>
      </w:r>
    </w:p>
    <w:p w14:paraId="7E5FAED2" w14:textId="77777777" w:rsidR="00F2221B" w:rsidRPr="00F2221B" w:rsidRDefault="00F2221B" w:rsidP="00F2221B">
      <w:r w:rsidRPr="00F2221B">
        <w:t>Portanto:</w:t>
      </w:r>
    </w:p>
    <w:p w14:paraId="37C2B3AA" w14:textId="77777777" w:rsidR="00F2221B" w:rsidRPr="00F2221B" w:rsidRDefault="00F2221B" w:rsidP="00F2221B">
      <w:pPr>
        <w:numPr>
          <w:ilvl w:val="0"/>
          <w:numId w:val="5"/>
        </w:numPr>
      </w:pPr>
      <w:r w:rsidRPr="00F2221B">
        <w:t xml:space="preserve">O Monitor </w:t>
      </w:r>
      <w:r w:rsidRPr="00F2221B">
        <w:rPr>
          <w:b/>
          <w:bCs/>
        </w:rPr>
        <w:t>não foi concebido</w:t>
      </w:r>
      <w:r w:rsidRPr="00F2221B">
        <w:t xml:space="preserve"> para avaliar políticas públicas de governos passados;</w:t>
      </w:r>
    </w:p>
    <w:p w14:paraId="43734086" w14:textId="77777777" w:rsidR="00F2221B" w:rsidRPr="00F2221B" w:rsidRDefault="00F2221B" w:rsidP="00F2221B">
      <w:pPr>
        <w:numPr>
          <w:ilvl w:val="0"/>
          <w:numId w:val="5"/>
        </w:numPr>
      </w:pPr>
      <w:r w:rsidRPr="00F2221B">
        <w:t xml:space="preserve">Seu foco é </w:t>
      </w:r>
      <w:r w:rsidRPr="00F2221B">
        <w:rPr>
          <w:b/>
          <w:bCs/>
        </w:rPr>
        <w:t>diagnóstico contemporâneo</w:t>
      </w:r>
      <w:r w:rsidRPr="00F2221B">
        <w:t>, identificação de tendências e leitura estrutural do ambiente econômico atual;</w:t>
      </w:r>
    </w:p>
    <w:p w14:paraId="377F1E43" w14:textId="77777777" w:rsidR="00F2221B" w:rsidRPr="00F2221B" w:rsidRDefault="00F2221B" w:rsidP="00F2221B">
      <w:pPr>
        <w:numPr>
          <w:ilvl w:val="0"/>
          <w:numId w:val="5"/>
        </w:numPr>
      </w:pPr>
      <w:r w:rsidRPr="00F2221B">
        <w:t xml:space="preserve">Qualquer tentativa de comparação entre governos, usando dados pré-2023 de outras fontes, </w:t>
      </w:r>
      <w:r w:rsidRPr="00F2221B">
        <w:rPr>
          <w:b/>
          <w:bCs/>
        </w:rPr>
        <w:t>misturaria metodologias e comprometeria a análise</w:t>
      </w:r>
      <w:r w:rsidRPr="00F2221B">
        <w:t>.</w:t>
      </w:r>
    </w:p>
    <w:p w14:paraId="143A95DE" w14:textId="77777777" w:rsidR="003F6AB1" w:rsidRDefault="003F6AB1"/>
    <w:sectPr w:rsidR="003F6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365A"/>
    <w:multiLevelType w:val="multilevel"/>
    <w:tmpl w:val="C2AE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628D"/>
    <w:multiLevelType w:val="multilevel"/>
    <w:tmpl w:val="F3C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73EF6"/>
    <w:multiLevelType w:val="multilevel"/>
    <w:tmpl w:val="429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86CC3"/>
    <w:multiLevelType w:val="multilevel"/>
    <w:tmpl w:val="9A42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11EC7"/>
    <w:multiLevelType w:val="multilevel"/>
    <w:tmpl w:val="F48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096030">
    <w:abstractNumId w:val="3"/>
  </w:num>
  <w:num w:numId="2" w16cid:durableId="684474870">
    <w:abstractNumId w:val="1"/>
  </w:num>
  <w:num w:numId="3" w16cid:durableId="1214468497">
    <w:abstractNumId w:val="0"/>
  </w:num>
  <w:num w:numId="4" w16cid:durableId="2022198213">
    <w:abstractNumId w:val="2"/>
  </w:num>
  <w:num w:numId="5" w16cid:durableId="1234271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1B"/>
    <w:rsid w:val="001A6447"/>
    <w:rsid w:val="003F6AB1"/>
    <w:rsid w:val="005A3DC5"/>
    <w:rsid w:val="00837AFD"/>
    <w:rsid w:val="00E7546D"/>
    <w:rsid w:val="00EA1ADB"/>
    <w:rsid w:val="00F2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5CE0"/>
  <w15:chartTrackingRefBased/>
  <w15:docId w15:val="{3DEEE12E-4164-41EE-8550-962C43D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2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2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2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2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2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22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2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2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Raposo</dc:creator>
  <cp:keywords/>
  <dc:description/>
  <cp:lastModifiedBy>Angelo Raposo</cp:lastModifiedBy>
  <cp:revision>1</cp:revision>
  <dcterms:created xsi:type="dcterms:W3CDTF">2026-02-10T13:14:00Z</dcterms:created>
  <dcterms:modified xsi:type="dcterms:W3CDTF">2026-02-10T13:29:00Z</dcterms:modified>
</cp:coreProperties>
</file>